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35F4" w:rsidRDefault="00F935F4" w:rsidP="00F935F4">
      <w:pPr>
        <w:shd w:val="clear" w:color="auto" w:fill="FFFFFF"/>
        <w:spacing w:after="0" w:line="375" w:lineRule="atLeast"/>
        <w:ind w:right="-180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Sở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y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tế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TP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Hồ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Chí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Minh:</w:t>
      </w:r>
    </w:p>
    <w:p w:rsidR="003978ED" w:rsidRPr="003978ED" w:rsidRDefault="003978ED" w:rsidP="00F935F4">
      <w:pPr>
        <w:shd w:val="clear" w:color="auto" w:fill="FFFFFF"/>
        <w:spacing w:before="120" w:after="0" w:line="240" w:lineRule="auto"/>
        <w:ind w:right="-187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</w:pP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Phương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án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tăng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cường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sàng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lọc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cách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ly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xét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nghiệm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chẩn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="00351A05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đ</w:t>
      </w:r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oán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điều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trị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COVID-19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tại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các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cơ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sở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y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trên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địa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bàn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thành</w:t>
      </w:r>
      <w:proofErr w:type="spellEnd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b/>
          <w:bCs/>
          <w:color w:val="000000"/>
          <w:kern w:val="36"/>
          <w:sz w:val="36"/>
          <w:szCs w:val="36"/>
        </w:rPr>
        <w:t>phố</w:t>
      </w:r>
      <w:proofErr w:type="spellEnd"/>
    </w:p>
    <w:p w:rsidR="003978ED" w:rsidRPr="00351A05" w:rsidRDefault="003978ED" w:rsidP="003978ED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</w:pPr>
    </w:p>
    <w:p w:rsidR="003978ED" w:rsidRPr="00351A05" w:rsidRDefault="003978ED" w:rsidP="003978ED">
      <w:pPr>
        <w:shd w:val="clear" w:color="auto" w:fill="FFFFFF"/>
        <w:spacing w:after="7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</w:pPr>
    </w:p>
    <w:p w:rsidR="003978ED" w:rsidRPr="003978ED" w:rsidRDefault="003978ED" w:rsidP="00351A05">
      <w:pPr>
        <w:shd w:val="clear" w:color="auto" w:fill="FFFFFF"/>
        <w:spacing w:after="75" w:line="240" w:lineRule="auto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Bên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cạnh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việc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củng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cố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các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khu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cách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ly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tạm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tại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tất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cả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bệnh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proofErr w:type="gram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viện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, </w:t>
      </w:r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hoạt</w:t>
      </w:r>
      <w:proofErr w:type="spellEnd"/>
      <w:proofErr w:type="gram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động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ưu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tiên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hiện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nay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của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hệ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thống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y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tế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</w:t>
      </w:r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hành</w:t>
      </w:r>
      <w:proofErr w:type="spellEnd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phố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Hồ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Chí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Minh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được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tập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trung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cho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công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tác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phân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tầng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chăm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sóc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bệnh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nhân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thuộc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nhóm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nghi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ngờ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và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nhóm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xác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định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COVID-19</w:t>
      </w:r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,</w:t>
      </w:r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theo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hướng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tập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trung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về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các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bệnh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viện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được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phân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công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chuyên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trách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;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đồng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thời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tăng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cường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năng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lực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xét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nghiệm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chẩn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đoán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COVIDD-19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cho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các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bệnh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viện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đa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khoa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,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chuyên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khoa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hạng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1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của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thành</w:t>
      </w:r>
      <w:proofErr w:type="spellEnd"/>
      <w:r w:rsidRPr="00351A05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phố</w:t>
      </w:r>
      <w:proofErr w:type="spellEnd"/>
      <w:r w:rsidR="002B5D73">
        <w:rPr>
          <w:rFonts w:ascii="Times New Roman" w:eastAsia="Times New Roman" w:hAnsi="Times New Roman" w:cs="Times New Roman"/>
          <w:b/>
          <w:bCs/>
          <w:color w:val="004175"/>
          <w:sz w:val="26"/>
          <w:szCs w:val="26"/>
        </w:rPr>
        <w:t>.</w:t>
      </w:r>
    </w:p>
    <w:p w:rsidR="003978ED" w:rsidRPr="003978ED" w:rsidRDefault="003978ED" w:rsidP="00351A05">
      <w:pPr>
        <w:shd w:val="clear" w:color="auto" w:fill="FFFFFF"/>
        <w:spacing w:after="0" w:line="300" w:lineRule="atLeast"/>
        <w:ind w:firstLine="540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:rsidR="00351A05" w:rsidRDefault="003978ED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Hiện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nay,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trên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địa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bàn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thành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phố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13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được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phép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thực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hiện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khẳng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định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vi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rút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SARS-CoV-2,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51A05" w:rsidRDefault="00351A05" w:rsidP="00351A05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trực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thuộc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Bộ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Viện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Pasteur, BV ĐH Y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dược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BV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Nhất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BV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Chợ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Rẫy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);</w:t>
      </w:r>
    </w:p>
    <w:p w:rsidR="00351A05" w:rsidRDefault="00351A05" w:rsidP="00351A05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-</w:t>
      </w:r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4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đơn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vị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ngoài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ngành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(BV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Quân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175, BV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Quân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7A, Chi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thú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6, Chi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cục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thú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vùng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7); </w:t>
      </w:r>
    </w:p>
    <w:p w:rsidR="003978ED" w:rsidRPr="003978ED" w:rsidRDefault="00351A05" w:rsidP="00351A05">
      <w:pPr>
        <w:shd w:val="clear" w:color="auto" w:fill="FFFFFF"/>
        <w:spacing w:before="120" w:after="120" w:line="240" w:lineRule="auto"/>
        <w:ind w:firstLine="547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- </w:t>
      </w:r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4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viện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công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lập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(BV BNĐ, BV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Nhi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1, BV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Nhi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đồng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TP, HCDC)</w:t>
      </w:r>
      <w:r w:rsidR="009B5A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9B5A3E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="009B5A3E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0</w:t>
      </w:r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1 BV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tư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(BV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Việt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Pháp</w:t>
      </w:r>
      <w:proofErr w:type="spellEnd"/>
      <w:r w:rsidR="003978ED"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- FV).</w:t>
      </w:r>
    </w:p>
    <w:p w:rsidR="003978ED" w:rsidRPr="003978ED" w:rsidRDefault="003978ED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351A05" w:rsidRDefault="00351A05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Theo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Sở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Y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qua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rà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soát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08</w:t>
      </w:r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đủ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năng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lực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triển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khai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xét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nghiệm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khẳng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vi </w:t>
      </w:r>
      <w:proofErr w:type="spellStart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rút</w:t>
      </w:r>
      <w:proofErr w:type="spellEnd"/>
      <w:r w:rsidR="003978ED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SARS-CoV-2:</w:t>
      </w:r>
    </w:p>
    <w:p w:rsidR="00351A05" w:rsidRPr="00456BE5" w:rsidRDefault="00456BE5" w:rsidP="002B5D7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Truyền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máu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Huyết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học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, </w:t>
      </w:r>
    </w:p>
    <w:p w:rsidR="00351A05" w:rsidRPr="00456BE5" w:rsidRDefault="00456BE5" w:rsidP="002B5D7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Nguyễn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Tri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Phương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, </w:t>
      </w:r>
    </w:p>
    <w:p w:rsidR="00351A05" w:rsidRPr="00456BE5" w:rsidRDefault="00456BE5" w:rsidP="002B5D7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BB2086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="00BB2086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dân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Gia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Định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, </w:t>
      </w:r>
    </w:p>
    <w:p w:rsidR="00351A05" w:rsidRPr="00456BE5" w:rsidRDefault="00456BE5" w:rsidP="002B5D7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Nhân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dân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115, </w:t>
      </w:r>
    </w:p>
    <w:p w:rsidR="00456BE5" w:rsidRPr="00456BE5" w:rsidRDefault="00456BE5" w:rsidP="002B5D7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Nhi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đồng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2,</w:t>
      </w:r>
    </w:p>
    <w:p w:rsidR="00351A05" w:rsidRPr="00456BE5" w:rsidRDefault="00456BE5" w:rsidP="002B5D7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Phạm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Ngọc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Thạch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</w:p>
    <w:p w:rsidR="00351A05" w:rsidRPr="00456BE5" w:rsidRDefault="00456BE5" w:rsidP="002B5D7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Quận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Thủ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Đức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, </w:t>
      </w:r>
    </w:p>
    <w:p w:rsidR="00BB2086" w:rsidRPr="00456BE5" w:rsidRDefault="00456BE5" w:rsidP="002B5D73">
      <w:pPr>
        <w:pStyle w:val="ListParagraph"/>
        <w:numPr>
          <w:ilvl w:val="0"/>
          <w:numId w:val="1"/>
        </w:numPr>
        <w:shd w:val="clear" w:color="auto" w:fill="FFFFFF"/>
        <w:spacing w:before="60" w:after="60" w:line="240" w:lineRule="auto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Quận</w:t>
      </w:r>
      <w:proofErr w:type="spellEnd"/>
      <w:r w:rsidR="003978ED" w:rsidRP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2. </w:t>
      </w:r>
    </w:p>
    <w:p w:rsidR="00BB2086" w:rsidRDefault="00BB2086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222222"/>
          <w:sz w:val="26"/>
          <w:szCs w:val="26"/>
        </w:rPr>
      </w:pPr>
    </w:p>
    <w:p w:rsidR="003978ED" w:rsidRPr="003978ED" w:rsidRDefault="003978ED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Sở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Y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lãnh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đạo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08 </w:t>
      </w:r>
      <w:proofErr w:type="spellStart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bệnh</w:t>
      </w:r>
      <w:proofErr w:type="spellEnd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nêu</w:t>
      </w:r>
      <w:proofErr w:type="spellEnd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trên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khẩn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trương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kiện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toàn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năng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lực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gửi</w:t>
      </w:r>
      <w:proofErr w:type="spellEnd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Pasteur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sớm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đánh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giá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năng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lực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đề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nghị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Bộ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Y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</w:p>
    <w:p w:rsidR="003978ED" w:rsidRPr="003978ED" w:rsidRDefault="003978ED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</w:p>
    <w:p w:rsidR="003978ED" w:rsidRPr="003978ED" w:rsidRDefault="003978ED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suất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12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đơn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vị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(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ngoại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trừ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Pasteur)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là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khoảng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2000 - 2500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mẫu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proofErr w:type="gram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="0075234F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 </w:t>
      </w:r>
      <w:proofErr w:type="spellStart"/>
      <w:r w:rsidR="0075234F">
        <w:rPr>
          <w:rFonts w:ascii="Times New Roman" w:eastAsia="Times New Roman" w:hAnsi="Times New Roman" w:cs="Times New Roman"/>
          <w:color w:val="222222"/>
          <w:sz w:val="26"/>
          <w:szCs w:val="26"/>
        </w:rPr>
        <w:t>ri</w:t>
      </w: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êng</w:t>
      </w:r>
      <w:proofErr w:type="spellEnd"/>
      <w:proofErr w:type="gram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Pasteur TP.HCM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có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năng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lực</w:t>
      </w:r>
      <w:proofErr w:type="spellEnd"/>
      <w:r w:rsidR="00B10584" w:rsidRPr="00B10584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B10584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="00B10584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B10584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khoảng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2000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mẫu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/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ngày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Sở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 Y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="0075234F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TP HCM </w:t>
      </w:r>
      <w:proofErr w:type="spellStart"/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>biết</w:t>
      </w:r>
      <w:proofErr w:type="spellEnd"/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đặt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hàng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P</w:t>
      </w: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asteur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thực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hiện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xét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nghiệm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="00456BE5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COVID-19 </w:t>
      </w:r>
      <w:proofErr w:type="spellStart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riêng</w:t>
      </w:r>
      <w:proofErr w:type="spellEnd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>t</w:t>
      </w:r>
      <w:r w:rsidR="0075234F">
        <w:rPr>
          <w:rFonts w:ascii="Times New Roman" w:eastAsia="Times New Roman" w:hAnsi="Times New Roman" w:cs="Times New Roman"/>
          <w:color w:val="222222"/>
          <w:sz w:val="26"/>
          <w:szCs w:val="26"/>
        </w:rPr>
        <w:t>h</w:t>
      </w:r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>ành</w:t>
      </w:r>
      <w:proofErr w:type="spellEnd"/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ph</w:t>
      </w:r>
      <w:r w:rsidR="0075234F">
        <w:rPr>
          <w:rFonts w:ascii="Times New Roman" w:eastAsia="Times New Roman" w:hAnsi="Times New Roman" w:cs="Times New Roman"/>
          <w:color w:val="222222"/>
          <w:sz w:val="26"/>
          <w:szCs w:val="26"/>
        </w:rPr>
        <w:t>ố</w:t>
      </w:r>
      <w:bookmarkStart w:id="0" w:name="_GoBack"/>
      <w:bookmarkEnd w:id="0"/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theo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mức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giá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tại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TT</w:t>
      </w:r>
      <w:r w:rsidR="002B5D73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13/2019/TT-BYT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B</w:t>
      </w:r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ộ</w:t>
      </w:r>
      <w:proofErr w:type="spellEnd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Y </w:t>
      </w:r>
      <w:proofErr w:type="spellStart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B</w:t>
      </w:r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ảo</w:t>
      </w:r>
      <w:proofErr w:type="spellEnd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hiểm</w:t>
      </w:r>
      <w:proofErr w:type="spellEnd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xã</w:t>
      </w:r>
      <w:proofErr w:type="spellEnd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hội</w:t>
      </w:r>
      <w:proofErr w:type="spellEnd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>Việt</w:t>
      </w:r>
      <w:proofErr w:type="spellEnd"/>
      <w:r w:rsidR="00456BE5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Nam</w:t>
      </w: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.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Đáp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lại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, 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Viện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Pasteur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cho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r w:rsidR="00FB0081">
        <w:rPr>
          <w:rFonts w:ascii="Times New Roman" w:eastAsia="Times New Roman" w:hAnsi="Times New Roman" w:cs="Times New Roman"/>
          <w:color w:val="222222"/>
          <w:sz w:val="26"/>
          <w:szCs w:val="26"/>
        </w:rPr>
        <w:t>hay</w:t>
      </w: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sẽ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báo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cáo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Bộ</w:t>
      </w:r>
      <w:proofErr w:type="spellEnd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Y </w:t>
      </w:r>
      <w:proofErr w:type="spellStart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sau</w:t>
      </w:r>
      <w:proofErr w:type="spellEnd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khi</w:t>
      </w:r>
      <w:proofErr w:type="spellEnd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nhận</w:t>
      </w:r>
      <w:proofErr w:type="spellEnd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 </w:t>
      </w:r>
      <w:proofErr w:type="spellStart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văn</w:t>
      </w:r>
      <w:proofErr w:type="spellEnd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bản</w:t>
      </w:r>
      <w:proofErr w:type="spellEnd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của</w:t>
      </w:r>
      <w:proofErr w:type="spellEnd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B0081">
        <w:rPr>
          <w:rFonts w:ascii="Times New Roman" w:eastAsia="Times New Roman" w:hAnsi="Times New Roman" w:cs="Times New Roman"/>
          <w:color w:val="222222"/>
          <w:sz w:val="26"/>
          <w:szCs w:val="26"/>
        </w:rPr>
        <w:t>Sở</w:t>
      </w:r>
      <w:proofErr w:type="spellEnd"/>
      <w:r w:rsidR="00FB00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Y </w:t>
      </w:r>
      <w:proofErr w:type="spellStart"/>
      <w:proofErr w:type="gramStart"/>
      <w:r w:rsidR="00FB0081">
        <w:rPr>
          <w:rFonts w:ascii="Times New Roman" w:eastAsia="Times New Roman" w:hAnsi="Times New Roman" w:cs="Times New Roman"/>
          <w:color w:val="222222"/>
          <w:sz w:val="26"/>
          <w:szCs w:val="26"/>
        </w:rPr>
        <w:t>tế</w:t>
      </w:r>
      <w:proofErr w:type="spellEnd"/>
      <w:r w:rsidR="00FB0081"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r w:rsidR="00FB0081">
        <w:rPr>
          <w:rFonts w:ascii="Times New Roman" w:eastAsia="Times New Roman" w:hAnsi="Times New Roman" w:cs="Times New Roman"/>
          <w:color w:val="222222"/>
          <w:sz w:val="26"/>
          <w:szCs w:val="26"/>
        </w:rPr>
        <w:t>,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để</w:t>
      </w:r>
      <w:proofErr w:type="spellEnd"/>
      <w:proofErr w:type="gram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được</w:t>
      </w:r>
      <w:proofErr w:type="spellEnd"/>
      <w:r w:rsidR="00FB0081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="00FB0081">
        <w:rPr>
          <w:rFonts w:ascii="Times New Roman" w:eastAsia="Times New Roman" w:hAnsi="Times New Roman" w:cs="Times New Roman"/>
          <w:color w:val="222222"/>
          <w:sz w:val="26"/>
          <w:szCs w:val="26"/>
        </w:rPr>
        <w:t>phép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đấu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thầu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sinh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phẩm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và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cố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gắng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tăng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công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suất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tối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đa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khoảng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5</w:t>
      </w:r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000 </w:t>
      </w:r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–</w:t>
      </w: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 10</w:t>
      </w:r>
      <w:r w:rsidR="00BB2086">
        <w:rPr>
          <w:rFonts w:ascii="Times New Roman" w:eastAsia="Times New Roman" w:hAnsi="Times New Roman" w:cs="Times New Roman"/>
          <w:color w:val="222222"/>
          <w:sz w:val="26"/>
          <w:szCs w:val="26"/>
        </w:rPr>
        <w:t>.</w:t>
      </w:r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 xml:space="preserve">000 </w:t>
      </w:r>
      <w:proofErr w:type="spellStart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mẫu</w:t>
      </w:r>
      <w:proofErr w:type="spellEnd"/>
      <w:r w:rsidRPr="003978ED">
        <w:rPr>
          <w:rFonts w:ascii="Times New Roman" w:eastAsia="Times New Roman" w:hAnsi="Times New Roman" w:cs="Times New Roman"/>
          <w:color w:val="222222"/>
          <w:sz w:val="26"/>
          <w:szCs w:val="26"/>
        </w:rPr>
        <w:t>. </w:t>
      </w:r>
    </w:p>
    <w:p w:rsidR="003978ED" w:rsidRPr="003978ED" w:rsidRDefault="003978ED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</w:p>
    <w:p w:rsidR="003978ED" w:rsidRPr="003978ED" w:rsidRDefault="003978ED" w:rsidP="00351A05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Bên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cạnh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kế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hoạch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nâng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cao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năng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lực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chẩn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đoán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proofErr w:type="gram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r w:rsidR="00B105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TP</w:t>
      </w:r>
      <w:proofErr w:type="gramEnd"/>
      <w:r w:rsidR="00B10584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HCM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cũng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rà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soát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huống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tăng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cường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sàng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lọc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ly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xét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nghiệm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chẩn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đoán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tại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các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cơ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sở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y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tế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trên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địa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bàn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thành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phố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cụ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thể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biểu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đồ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dưới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đây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3978ED" w:rsidRPr="003978ED" w:rsidRDefault="003978ED" w:rsidP="003978ED">
      <w:pPr>
        <w:shd w:val="clear" w:color="auto" w:fill="FFFFFF"/>
        <w:spacing w:after="0" w:line="300" w:lineRule="atLeast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1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> </w:t>
      </w:r>
    </w:p>
    <w:p w:rsidR="003978ED" w:rsidRPr="003978ED" w:rsidRDefault="003978ED" w:rsidP="003978ED">
      <w:pPr>
        <w:shd w:val="clear" w:color="auto" w:fill="FFFFFF"/>
        <w:spacing w:after="0" w:line="300" w:lineRule="atLeast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1A05">
        <w:rPr>
          <w:rFonts w:ascii="Times New Roman" w:eastAsia="Times New Roman" w:hAnsi="Times New Roman" w:cs="Times New Roman"/>
          <w:b/>
          <w:bCs/>
          <w:noProof/>
          <w:color w:val="000000"/>
          <w:sz w:val="26"/>
          <w:szCs w:val="26"/>
        </w:rPr>
        <w:drawing>
          <wp:inline distT="0" distB="0" distL="0" distR="0">
            <wp:extent cx="6114699" cy="7151298"/>
            <wp:effectExtent l="0" t="0" r="635" b="0"/>
            <wp:docPr id="1" name="Picture 1" descr="http://file.medinet.gov.vn/UploadImages/soytehcm/2020_8/03/hinh-lm-2_3820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file.medinet.gov.vn/UploadImages/soytehcm/2020_8/03/hinh-lm-2_38202020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47329" cy="7189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51A05" w:rsidRDefault="00351A05" w:rsidP="00351A05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057AE"/>
          <w:sz w:val="26"/>
          <w:szCs w:val="26"/>
        </w:rPr>
      </w:pPr>
    </w:p>
    <w:p w:rsidR="009B5A3E" w:rsidRPr="003978ED" w:rsidRDefault="009B5A3E" w:rsidP="009B5A3E">
      <w:pPr>
        <w:shd w:val="clear" w:color="auto" w:fill="FFFFFF"/>
        <w:spacing w:after="0" w:line="300" w:lineRule="atLeast"/>
        <w:ind w:firstLine="54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51A05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 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Theo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thống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kê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từ</w:t>
      </w:r>
      <w:proofErr w:type="spellEnd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câp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nhật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tình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hình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cách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ly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theo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dõi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điều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trị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bệnh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nhân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triệu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chứng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và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dịch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tễ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liên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quan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COVID-19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cộng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dồn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cho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đến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ngày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3/8/2020</w:t>
      </w:r>
      <w:r>
        <w:rPr>
          <w:rFonts w:ascii="Times New Roman" w:eastAsia="Times New Roman" w:hAnsi="Times New Roman" w:cs="Times New Roman"/>
          <w:color w:val="000000"/>
          <w:sz w:val="26"/>
          <w:szCs w:val="26"/>
        </w:rPr>
        <w:t>,</w:t>
      </w:r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đã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có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tổng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cộng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có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247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người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cách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theo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dõi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9B5A3E">
        <w:rPr>
          <w:rFonts w:ascii="Times New Roman" w:eastAsia="Times New Roman" w:hAnsi="Times New Roman" w:cs="Times New Roman"/>
          <w:bCs/>
          <w:color w:val="000000"/>
          <w:sz w:val="26"/>
          <w:szCs w:val="26"/>
          <w:shd w:val="clear" w:color="auto" w:fill="FFFFFF"/>
        </w:rPr>
        <w:t>tại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 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khu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cách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ly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của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các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bệnh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viện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trong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đó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211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trường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hợp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đã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được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làm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xét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nghiệm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chẩn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đoán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(8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dương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125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âm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, 78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đang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chờ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kết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 </w:t>
      </w:r>
      <w:proofErr w:type="spellStart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quả</w:t>
      </w:r>
      <w:proofErr w:type="spellEnd"/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>).</w:t>
      </w:r>
    </w:p>
    <w:p w:rsidR="009B5A3E" w:rsidRDefault="009B5A3E" w:rsidP="00351A05">
      <w:pPr>
        <w:shd w:val="clear" w:color="auto" w:fill="FFFFFF"/>
        <w:spacing w:after="0" w:line="300" w:lineRule="atLeast"/>
        <w:jc w:val="right"/>
        <w:textAlignment w:val="baseline"/>
        <w:rPr>
          <w:rFonts w:ascii="Times New Roman" w:eastAsia="Times New Roman" w:hAnsi="Times New Roman" w:cs="Times New Roman"/>
          <w:b/>
          <w:bCs/>
          <w:color w:val="1057AE"/>
          <w:sz w:val="26"/>
          <w:szCs w:val="26"/>
        </w:rPr>
      </w:pPr>
    </w:p>
    <w:p w:rsidR="003978ED" w:rsidRPr="009542EE" w:rsidRDefault="009542EE" w:rsidP="00882171">
      <w:pPr>
        <w:shd w:val="clear" w:color="auto" w:fill="FFFFFF"/>
        <w:spacing w:after="0" w:line="300" w:lineRule="atLeast"/>
        <w:textAlignment w:val="baseline"/>
        <w:rPr>
          <w:rFonts w:ascii="Times New Roman" w:eastAsia="Times New Roman" w:hAnsi="Times New Roman" w:cs="Times New Roman"/>
          <w:b/>
          <w:bCs/>
          <w:color w:val="1057AE"/>
        </w:rPr>
      </w:pPr>
      <w:r w:rsidRPr="009542EE">
        <w:rPr>
          <w:rFonts w:ascii="Times New Roman" w:eastAsia="Times New Roman" w:hAnsi="Times New Roman" w:cs="Times New Roman"/>
          <w:b/>
          <w:bCs/>
          <w:color w:val="1057AE"/>
        </w:rPr>
        <w:t xml:space="preserve">Minh </w:t>
      </w:r>
      <w:proofErr w:type="spellStart"/>
      <w:r w:rsidRPr="009542EE">
        <w:rPr>
          <w:rFonts w:ascii="Times New Roman" w:eastAsia="Times New Roman" w:hAnsi="Times New Roman" w:cs="Times New Roman"/>
          <w:b/>
          <w:bCs/>
          <w:color w:val="1057AE"/>
        </w:rPr>
        <w:t>Tâm</w:t>
      </w:r>
      <w:proofErr w:type="spellEnd"/>
      <w:r w:rsidRPr="009542EE">
        <w:rPr>
          <w:rFonts w:ascii="Times New Roman" w:eastAsia="Times New Roman" w:hAnsi="Times New Roman" w:cs="Times New Roman"/>
          <w:b/>
          <w:bCs/>
          <w:color w:val="1057AE"/>
        </w:rPr>
        <w:t xml:space="preserve"> (</w:t>
      </w:r>
      <w:r w:rsidRPr="009542EE">
        <w:rPr>
          <w:rFonts w:ascii="Times New Roman" w:eastAsia="Times New Roman" w:hAnsi="Times New Roman" w:cs="Times New Roman"/>
          <w:b/>
          <w:bCs/>
          <w:i/>
          <w:color w:val="1057AE"/>
        </w:rPr>
        <w:t xml:space="preserve">Theo </w:t>
      </w:r>
      <w:r w:rsidR="003978ED" w:rsidRPr="009542EE">
        <w:rPr>
          <w:rFonts w:ascii="Times New Roman" w:eastAsia="Times New Roman" w:hAnsi="Times New Roman" w:cs="Times New Roman"/>
          <w:b/>
          <w:bCs/>
          <w:i/>
          <w:color w:val="1057AE"/>
        </w:rPr>
        <w:t>SỞ Y TẾ TP.HCM</w:t>
      </w:r>
      <w:r w:rsidRPr="009542EE">
        <w:rPr>
          <w:rFonts w:ascii="Times New Roman" w:eastAsia="Times New Roman" w:hAnsi="Times New Roman" w:cs="Times New Roman"/>
          <w:b/>
          <w:bCs/>
          <w:color w:val="1057AE"/>
        </w:rPr>
        <w:t>)</w:t>
      </w:r>
    </w:p>
    <w:p w:rsidR="003978ED" w:rsidRPr="003978ED" w:rsidRDefault="003978ED" w:rsidP="003978ED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3978ED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</w:r>
    </w:p>
    <w:p w:rsidR="00D51349" w:rsidRPr="00351A05" w:rsidRDefault="00D51349">
      <w:pPr>
        <w:rPr>
          <w:rFonts w:ascii="Times New Roman" w:hAnsi="Times New Roman" w:cs="Times New Roman"/>
          <w:sz w:val="26"/>
          <w:szCs w:val="26"/>
        </w:rPr>
      </w:pPr>
    </w:p>
    <w:sectPr w:rsidR="00D51349" w:rsidRPr="00351A05" w:rsidSect="009C16F9">
      <w:pgSz w:w="12240" w:h="15840"/>
      <w:pgMar w:top="360" w:right="1170" w:bottom="63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A3B08"/>
    <w:multiLevelType w:val="hybridMultilevel"/>
    <w:tmpl w:val="A30216BC"/>
    <w:lvl w:ilvl="0" w:tplc="9D7AD134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1" w15:restartNumberingAfterBreak="0">
    <w:nsid w:val="52252ACF"/>
    <w:multiLevelType w:val="hybridMultilevel"/>
    <w:tmpl w:val="5B6A8716"/>
    <w:lvl w:ilvl="0" w:tplc="F5EA9C14">
      <w:start w:val="6"/>
      <w:numFmt w:val="bullet"/>
      <w:lvlText w:val="-"/>
      <w:lvlJc w:val="left"/>
      <w:pPr>
        <w:ind w:left="8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785B"/>
    <w:rsid w:val="001D785B"/>
    <w:rsid w:val="002B5D73"/>
    <w:rsid w:val="00351A05"/>
    <w:rsid w:val="003978ED"/>
    <w:rsid w:val="00456BE5"/>
    <w:rsid w:val="006B0069"/>
    <w:rsid w:val="0075234F"/>
    <w:rsid w:val="00882171"/>
    <w:rsid w:val="009542EE"/>
    <w:rsid w:val="009B5A3E"/>
    <w:rsid w:val="009C16F9"/>
    <w:rsid w:val="00B10584"/>
    <w:rsid w:val="00BB2086"/>
    <w:rsid w:val="00D51349"/>
    <w:rsid w:val="00F935F4"/>
    <w:rsid w:val="00FB0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B74CB6"/>
  <w15:chartTrackingRefBased/>
  <w15:docId w15:val="{83C10BDD-3FC6-41FC-9084-4EFC14AA8D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3978E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978E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customStyle="1" w:styleId="openmedia">
    <w:name w:val="openmedia"/>
    <w:basedOn w:val="Normal"/>
    <w:rsid w:val="003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978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apodetail">
    <w:name w:val="sapodetail"/>
    <w:basedOn w:val="DefaultParagraphFont"/>
    <w:rsid w:val="003978ED"/>
  </w:style>
  <w:style w:type="character" w:styleId="Strong">
    <w:name w:val="Strong"/>
    <w:basedOn w:val="DefaultParagraphFont"/>
    <w:uiPriority w:val="22"/>
    <w:qFormat/>
    <w:rsid w:val="003978ED"/>
    <w:rPr>
      <w:b/>
      <w:bCs/>
    </w:rPr>
  </w:style>
  <w:style w:type="character" w:styleId="Emphasis">
    <w:name w:val="Emphasis"/>
    <w:basedOn w:val="DefaultParagraphFont"/>
    <w:uiPriority w:val="20"/>
    <w:qFormat/>
    <w:rsid w:val="003978ED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3978E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6B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51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742858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665861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9770039">
              <w:marLeft w:val="0"/>
              <w:marRight w:val="225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3969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13</cp:revision>
  <dcterms:created xsi:type="dcterms:W3CDTF">2020-08-03T14:38:00Z</dcterms:created>
  <dcterms:modified xsi:type="dcterms:W3CDTF">2020-08-03T15:52:00Z</dcterms:modified>
</cp:coreProperties>
</file>